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A5" w:rsidRPr="00242193" w:rsidRDefault="00242193" w:rsidP="00242193">
      <w:pPr>
        <w:jc w:val="center"/>
        <w:rPr>
          <w:rFonts w:asciiTheme="minorEastAsia" w:hAnsiTheme="minorEastAsia" w:cs="Helvetica" w:hint="eastAsia"/>
          <w:b/>
          <w:bCs/>
          <w:color w:val="333333"/>
          <w:sz w:val="24"/>
          <w:szCs w:val="24"/>
        </w:rPr>
      </w:pPr>
      <w:r w:rsidRPr="00242193">
        <w:rPr>
          <w:rFonts w:asciiTheme="minorEastAsia" w:hAnsiTheme="minorEastAsia" w:cs="Helvetica" w:hint="eastAsia"/>
          <w:b/>
          <w:bCs/>
          <w:color w:val="333333"/>
          <w:sz w:val="24"/>
          <w:szCs w:val="24"/>
        </w:rPr>
        <w:t>高等学校哲学社会科学繁荣计划专项资金管理办法（</w:t>
      </w:r>
      <w:proofErr w:type="gramStart"/>
      <w:r w:rsidRPr="00242193">
        <w:rPr>
          <w:rFonts w:asciiTheme="minorEastAsia" w:hAnsiTheme="minorEastAsia" w:cs="Helvetica" w:hint="eastAsia"/>
          <w:b/>
          <w:bCs/>
          <w:color w:val="333333"/>
          <w:sz w:val="24"/>
          <w:szCs w:val="24"/>
        </w:rPr>
        <w:t>财教</w:t>
      </w:r>
      <w:proofErr w:type="gramEnd"/>
      <w:r w:rsidRPr="00242193">
        <w:rPr>
          <w:rFonts w:asciiTheme="minorEastAsia" w:hAnsiTheme="minorEastAsia" w:cs="Helvetica" w:hint="eastAsia"/>
          <w:b/>
          <w:bCs/>
          <w:color w:val="333333"/>
          <w:sz w:val="24"/>
          <w:szCs w:val="24"/>
        </w:rPr>
        <w:t>[2016]317号）</w:t>
      </w:r>
    </w:p>
    <w:p w:rsidR="00242193" w:rsidRDefault="00242193" w:rsidP="00242193">
      <w:pPr>
        <w:widowControl/>
        <w:spacing w:after="150" w:line="400" w:lineRule="exact"/>
        <w:jc w:val="center"/>
        <w:rPr>
          <w:rFonts w:asciiTheme="minorEastAsia" w:hAnsiTheme="minorEastAsia" w:cs="Helvetica" w:hint="eastAsia"/>
          <w:color w:val="000000"/>
          <w:kern w:val="0"/>
          <w:szCs w:val="21"/>
        </w:rPr>
      </w:pPr>
    </w:p>
    <w:p w:rsidR="00242193" w:rsidRPr="00242193" w:rsidRDefault="00242193" w:rsidP="00242193">
      <w:pPr>
        <w:widowControl/>
        <w:spacing w:after="150" w:line="400" w:lineRule="exact"/>
        <w:jc w:val="center"/>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第一章 总 则</w:t>
      </w:r>
      <w:bookmarkStart w:id="0" w:name="_GoBack"/>
      <w:bookmarkEnd w:id="0"/>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第一条 为促进高校哲学社会科学事业持续健康协调发展，加强和规范高等学校哲学社会科学繁荣计划专项资金（以下简称繁荣计划专项资金）管理，提高资金使用效益，根据</w:t>
      </w:r>
      <w:r w:rsidRPr="00242193">
        <w:rPr>
          <w:rFonts w:asciiTheme="minorEastAsia" w:hAnsiTheme="minorEastAsia" w:cs="Helvetica" w:hint="eastAsia"/>
          <w:color w:val="333333"/>
          <w:kern w:val="0"/>
          <w:szCs w:val="21"/>
        </w:rPr>
        <w:t>党中央、国务院关于深入推进高等学校哲学社会科学繁荣发展的有关精神</w:t>
      </w:r>
      <w:r w:rsidRPr="00242193">
        <w:rPr>
          <w:rFonts w:asciiTheme="minorEastAsia" w:hAnsiTheme="minorEastAsia" w:cs="Helvetica" w:hint="eastAsia"/>
          <w:color w:val="000000"/>
          <w:kern w:val="0"/>
          <w:szCs w:val="21"/>
        </w:rPr>
        <w:t>、《中共中央办公厅 国务院办公厅关于进一步完善中央财政科研项目资金管理等政策的若干意见》以及国家财政财务管理有关法律法规，制定本办法。</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第二条 繁荣计划专项资金由中央财政安排，是用于支持“高等学校哲学社会科学繁荣计划”（以下简称繁荣计划）社会科学研究、学科发展、人才培养和队伍建设的专项资金。</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第四条 财政部、教育部负责制定繁荣计划专项资金管理制度，研究制定预算安排的总体方案。教育部负责编制繁荣计划专项资金年度预算、组织实施和管理监督工作，建立健全项目绩效考评机制。</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项目依托学校的财务和科研管理等相关部门，要根据学科特点和实际需要,加强对项目预算执行和资金使用的指导；注重科学管理、改进服务，为项目实施提供条件保障。</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第六条 项目负责人是项目管理和资金使用的直接责任人，应当按照本办法规定，科学编制项目预算和决算，合理合</w:t>
      </w:r>
      <w:proofErr w:type="gramStart"/>
      <w:r w:rsidRPr="00242193">
        <w:rPr>
          <w:rFonts w:asciiTheme="minorEastAsia" w:hAnsiTheme="minorEastAsia" w:cs="Helvetica" w:hint="eastAsia"/>
          <w:color w:val="000000"/>
          <w:kern w:val="0"/>
          <w:szCs w:val="21"/>
        </w:rPr>
        <w:t>规</w:t>
      </w:r>
      <w:proofErr w:type="gramEnd"/>
      <w:r w:rsidRPr="00242193">
        <w:rPr>
          <w:rFonts w:asciiTheme="minorEastAsia" w:hAnsiTheme="minorEastAsia" w:cs="Helvetica" w:hint="eastAsia"/>
          <w:color w:val="000000"/>
          <w:kern w:val="0"/>
          <w:szCs w:val="21"/>
        </w:rPr>
        <w:t>使用资金。</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项目负责人应当严格遵守国家预算和财务管理规定，对资金使用和项目实施的合</w:t>
      </w:r>
      <w:proofErr w:type="gramStart"/>
      <w:r w:rsidRPr="00242193">
        <w:rPr>
          <w:rFonts w:asciiTheme="minorEastAsia" w:hAnsiTheme="minorEastAsia" w:cs="Helvetica" w:hint="eastAsia"/>
          <w:color w:val="000000"/>
          <w:kern w:val="0"/>
          <w:szCs w:val="21"/>
        </w:rPr>
        <w:t>规</w:t>
      </w:r>
      <w:proofErr w:type="gramEnd"/>
      <w:r w:rsidRPr="00242193">
        <w:rPr>
          <w:rFonts w:asciiTheme="minorEastAsia" w:hAnsiTheme="minorEastAsia" w:cs="Helvetica" w:hint="eastAsia"/>
          <w:color w:val="000000"/>
          <w:kern w:val="0"/>
          <w:szCs w:val="21"/>
        </w:rPr>
        <w:t>性、合理性、真实性和相关性负责，并承担相应的经济与法律责任。</w:t>
      </w:r>
    </w:p>
    <w:p w:rsidR="00242193" w:rsidRPr="00242193" w:rsidRDefault="00242193" w:rsidP="00242193">
      <w:pPr>
        <w:widowControl/>
        <w:spacing w:after="150" w:line="400" w:lineRule="exact"/>
        <w:jc w:val="center"/>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第二章 支出范围</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第七条 繁荣计划专项资金分为研究项目资金、非研究项目资金和管理资金。</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lastRenderedPageBreak/>
        <w:t>第八条 本办法第七条所称研究项目是指围绕繁荣计划建设任务设立的各类高校哲学社会科学研究项目的总称。研究项目资金包括在项目研究过程中发生的直接费用和间接费用。</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第九条 直接费用包括图书资料费、数据采集费、会议费/差旅费/国际合作与交流费、设备费、专家咨询费、劳务费、印刷费/宣传费等。其中：</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图书资料费：指在项目研究过程中购买必要的图书（包括外文图书）、专业软件，资料收集、整理、录入、复印、翻拍、翻译，文献检索等费用。</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数据采集费：指在项目研究过程中开展问卷调查、田野调查、数据购买、数据分析及相应技术服务购买等费用。</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设备费：指在项目研究过程中购置设备和设备耗材、升级维护现有设备以及租用外单位设备而发生的费用。应当严格控制设备购置，鼓励共享、租赁以及对现有设备进行升级改造。</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专家咨询费：指在项目研究过程中支付给临时聘请的咨询专家的费用。专家咨询费由项目负责人按照项目研究实际需要编制，支出标准按照国家有关规定执行。</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印刷费/宣传费：指在项目研究过程中支付的打印、印刷和出版、成果推介等费用。</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其他：指与项目研究直接相关的除上述费用之外的其他支出。其他支出应当在项目预算中单独列示，单独核定。</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间接费用一般按照不超过项目支出总额的一定比例核定。具体比例如下：50万元及以下部分为30%；超过50万元至500万元的部分为20%；超过500万元的部分为13%。严禁超额提取、变相提取和重复提取。</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lastRenderedPageBreak/>
        <w:t>间接费用应当纳入项目依托学校预算统筹安排，合</w:t>
      </w:r>
      <w:proofErr w:type="gramStart"/>
      <w:r w:rsidRPr="00242193">
        <w:rPr>
          <w:rFonts w:asciiTheme="minorEastAsia" w:hAnsiTheme="minorEastAsia" w:cs="Helvetica" w:hint="eastAsia"/>
          <w:color w:val="000000"/>
          <w:kern w:val="0"/>
          <w:szCs w:val="21"/>
        </w:rPr>
        <w:t>规</w:t>
      </w:r>
      <w:proofErr w:type="gramEnd"/>
      <w:r w:rsidRPr="00242193">
        <w:rPr>
          <w:rFonts w:asciiTheme="minorEastAsia" w:hAnsiTheme="minorEastAsia" w:cs="Helvetica" w:hint="eastAsia"/>
          <w:color w:val="000000"/>
          <w:kern w:val="0"/>
          <w:szCs w:val="21"/>
        </w:rPr>
        <w:t>合理使用。项目依托学校统筹安排间接费用时，应当处理好合理分摊间接成本和对科研人员激励的关系，绩效支出安排应当结合项目研究进度和完成质量，与科研人员在项目工作中的实际贡献挂钩。</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第十一条 非研究项目资金指支撑高校哲学社会科学科研机构、团队</w:t>
      </w:r>
      <w:proofErr w:type="gramStart"/>
      <w:r w:rsidRPr="00242193">
        <w:rPr>
          <w:rFonts w:asciiTheme="minorEastAsia" w:hAnsiTheme="minorEastAsia" w:cs="Helvetica" w:hint="eastAsia"/>
          <w:color w:val="000000"/>
          <w:kern w:val="0"/>
          <w:szCs w:val="21"/>
        </w:rPr>
        <w:t>以及智库运行</w:t>
      </w:r>
      <w:proofErr w:type="gramEnd"/>
      <w:r w:rsidRPr="00242193">
        <w:rPr>
          <w:rFonts w:asciiTheme="minorEastAsia" w:hAnsiTheme="minorEastAsia" w:cs="Helvetica" w:hint="eastAsia"/>
          <w:color w:val="000000"/>
          <w:kern w:val="0"/>
          <w:szCs w:val="21"/>
        </w:rPr>
        <w:t>、优秀成果奖励等繁荣计划建设项目的资金。</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非研究项目资金按照“绩效导向、稳定支持、协议管理、动态调整”的原则进行资助和管理，可以通过第三方评估将相关优秀的研究机构（或者智库、团队）纳入资助范围。</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教育部与依托学校、受资助研究机构（或者智库、团队）约定建设周期内的目标任务，委托第三方进行评价考核，根据实际绩效实行有差别的稳定支持，并采取优胜劣汰、动态调整的管理方式。</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财政部、教育部按规定对获得教育部科学研究优秀成果奖（人文社会科学）的成果进行奖励，对被采用和向有关部门报送的有价值、高水平的</w:t>
      </w:r>
      <w:proofErr w:type="gramStart"/>
      <w:r w:rsidRPr="00242193">
        <w:rPr>
          <w:rFonts w:asciiTheme="minorEastAsia" w:hAnsiTheme="minorEastAsia" w:cs="Helvetica" w:hint="eastAsia"/>
          <w:color w:val="000000"/>
          <w:kern w:val="0"/>
          <w:szCs w:val="21"/>
        </w:rPr>
        <w:t>咨政成果</w:t>
      </w:r>
      <w:proofErr w:type="gramEnd"/>
      <w:r w:rsidRPr="00242193">
        <w:rPr>
          <w:rFonts w:asciiTheme="minorEastAsia" w:hAnsiTheme="minorEastAsia" w:cs="Helvetica" w:hint="eastAsia"/>
          <w:color w:val="000000"/>
          <w:kern w:val="0"/>
          <w:szCs w:val="21"/>
        </w:rPr>
        <w:t>实行后期资助和事后奖励。学校不得对奖励资金提取间接费用。</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第十二条 管理资金是指教育部在实施繁荣计划过程中组织、协调、评审、鉴定等管理性工作所需费用。</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在繁荣计划实施过程中，应按照“管、办、评”分离原则，推进政府购买服务，规范向社会力量购买服务的程序和方式，切实转变政府职能。</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第十三条 繁荣计划专项资金项目中的相关开支标准，按照国家以及项目依托学校的有关规定执行。</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242193" w:rsidRPr="00242193" w:rsidRDefault="00242193" w:rsidP="00242193">
      <w:pPr>
        <w:widowControl/>
        <w:spacing w:after="150" w:line="400" w:lineRule="exact"/>
        <w:jc w:val="center"/>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lastRenderedPageBreak/>
        <w:t>第三章 预算管理</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sidRPr="00242193">
        <w:rPr>
          <w:rFonts w:asciiTheme="minorEastAsia" w:hAnsiTheme="minorEastAsia" w:cs="Helvetica" w:hint="eastAsia"/>
          <w:color w:val="000000"/>
          <w:kern w:val="0"/>
          <w:szCs w:val="21"/>
        </w:rPr>
        <w:t>作出</w:t>
      </w:r>
      <w:proofErr w:type="gramEnd"/>
      <w:r w:rsidRPr="00242193">
        <w:rPr>
          <w:rFonts w:asciiTheme="minorEastAsia" w:hAnsiTheme="minorEastAsia" w:cs="Helvetica" w:hint="eastAsia"/>
          <w:color w:val="000000"/>
          <w:kern w:val="0"/>
          <w:szCs w:val="21"/>
        </w:rPr>
        <w:t>说明。</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项目资金需要转拨协作单位的，应在预算中单独列示，并对外协单位资质、承担的研究任务、</w:t>
      </w:r>
      <w:proofErr w:type="gramStart"/>
      <w:r w:rsidRPr="00242193">
        <w:rPr>
          <w:rFonts w:asciiTheme="minorEastAsia" w:hAnsiTheme="minorEastAsia" w:cs="Helvetica" w:hint="eastAsia"/>
          <w:color w:val="000000"/>
          <w:kern w:val="0"/>
          <w:szCs w:val="21"/>
        </w:rPr>
        <w:t>外拨资金</w:t>
      </w:r>
      <w:proofErr w:type="gramEnd"/>
      <w:r w:rsidRPr="00242193">
        <w:rPr>
          <w:rFonts w:asciiTheme="minorEastAsia" w:hAnsiTheme="minorEastAsia" w:cs="Helvetica" w:hint="eastAsia"/>
          <w:color w:val="000000"/>
          <w:kern w:val="0"/>
          <w:szCs w:val="21"/>
        </w:rPr>
        <w:t>额度等进行详细说明。项目负责人应对合作（外协）业务的真实性、相关性负责。间接</w:t>
      </w:r>
      <w:proofErr w:type="gramStart"/>
      <w:r w:rsidRPr="00242193">
        <w:rPr>
          <w:rFonts w:asciiTheme="minorEastAsia" w:hAnsiTheme="minorEastAsia" w:cs="Helvetica" w:hint="eastAsia"/>
          <w:color w:val="000000"/>
          <w:kern w:val="0"/>
          <w:szCs w:val="21"/>
        </w:rPr>
        <w:t>费用外拨金额</w:t>
      </w:r>
      <w:proofErr w:type="gramEnd"/>
      <w:r w:rsidRPr="00242193">
        <w:rPr>
          <w:rFonts w:asciiTheme="minorEastAsia" w:hAnsiTheme="minorEastAsia" w:cs="Helvetica" w:hint="eastAsia"/>
          <w:color w:val="000000"/>
          <w:kern w:val="0"/>
          <w:szCs w:val="21"/>
        </w:rPr>
        <w:t>，由项目依托学校和合作研究单位协商确定。</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第十六条 教育部根据繁荣计划建设目标和建设内容，重点对项目预算的目标相关性、政策相符性、经济合理性进行评审。应建立评审专家库，建立和完善评审专家的遴选、回避、信用和问责制度。</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第十七条 教育部根据部门预算编制要求，在部门预算“一上”时，将繁荣计划专项资金三年支出规划和年度预算建议数报送财政部，财政部按部门预算程序审核后批复年度预算。</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繁荣计划专项资金支付按照国库集中支付制度有关规定执行。</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第十九条 项目依托学校应当将资金纳入学校财务部门统一管理。</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学校应当指导项目负责人科学合理编制预算，规范预算调剂程序，完善项目资金支出、报销审核监督制度，加强对专家咨询费、劳务费、</w:t>
      </w:r>
      <w:proofErr w:type="gramStart"/>
      <w:r w:rsidRPr="00242193">
        <w:rPr>
          <w:rFonts w:asciiTheme="minorEastAsia" w:hAnsiTheme="minorEastAsia" w:cs="Helvetica" w:hint="eastAsia"/>
          <w:color w:val="000000"/>
          <w:kern w:val="0"/>
          <w:szCs w:val="21"/>
        </w:rPr>
        <w:t>外拨资金</w:t>
      </w:r>
      <w:proofErr w:type="gramEnd"/>
      <w:r w:rsidRPr="00242193">
        <w:rPr>
          <w:rFonts w:asciiTheme="minorEastAsia" w:hAnsiTheme="minorEastAsia" w:cs="Helvetica" w:hint="eastAsia"/>
          <w:color w:val="000000"/>
          <w:kern w:val="0"/>
          <w:szCs w:val="21"/>
        </w:rPr>
        <w:t>、间接费用、结转结余资金等的审核和管理。</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学校应当强化对合作项目真实性、可行性和合</w:t>
      </w:r>
      <w:proofErr w:type="gramStart"/>
      <w:r w:rsidRPr="00242193">
        <w:rPr>
          <w:rFonts w:asciiTheme="minorEastAsia" w:hAnsiTheme="minorEastAsia" w:cs="Helvetica" w:hint="eastAsia"/>
          <w:color w:val="000000"/>
          <w:kern w:val="0"/>
          <w:szCs w:val="21"/>
        </w:rPr>
        <w:t>规</w:t>
      </w:r>
      <w:proofErr w:type="gramEnd"/>
      <w:r w:rsidRPr="00242193">
        <w:rPr>
          <w:rFonts w:asciiTheme="minorEastAsia" w:hAnsiTheme="minorEastAsia" w:cs="Helvetica" w:hint="eastAsia"/>
          <w:color w:val="000000"/>
          <w:kern w:val="0"/>
          <w:szCs w:val="21"/>
        </w:rPr>
        <w:t>性的审核，严格防止虚假资源匹配和虚假合作，坚决杜绝假借合作名义骗取资金。</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第二十条 项目预算一经批复，必须严格执行。确需调剂的，应当按规定报批。</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lastRenderedPageBreak/>
        <w:t>由于研究内容或者研究计划</w:t>
      </w:r>
      <w:proofErr w:type="gramStart"/>
      <w:r w:rsidRPr="00242193">
        <w:rPr>
          <w:rFonts w:asciiTheme="minorEastAsia" w:hAnsiTheme="minorEastAsia" w:cs="Helvetica" w:hint="eastAsia"/>
          <w:color w:val="000000"/>
          <w:kern w:val="0"/>
          <w:szCs w:val="21"/>
        </w:rPr>
        <w:t>作出</w:t>
      </w:r>
      <w:proofErr w:type="gramEnd"/>
      <w:r w:rsidRPr="00242193">
        <w:rPr>
          <w:rFonts w:asciiTheme="minorEastAsia" w:hAnsiTheme="minorEastAsia" w:cs="Helvetica" w:hint="eastAsia"/>
          <w:color w:val="000000"/>
          <w:kern w:val="0"/>
          <w:szCs w:val="21"/>
        </w:rPr>
        <w:t>重大调整等原因，确需增加或减少预算总额的，由依托学校审核同意后报教育部审批。</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在项目预算总额不变的情况下，支出科目和金额确需调剂的，由项目负责人根据实际需要提出调剂申请，报依托学校审批。会议费/差旅费/国际合作与交流费、劳务费、专家咨询费预算一般不予调增，可以调减用于项目其他方面支出。如有特殊情况确需调增的，由项目负责人提出申请，经学校审核同意后，报教育部审批。间接费用原则上不得调剂。原项目预算</w:t>
      </w:r>
      <w:proofErr w:type="gramStart"/>
      <w:r w:rsidRPr="00242193">
        <w:rPr>
          <w:rFonts w:asciiTheme="minorEastAsia" w:hAnsiTheme="minorEastAsia" w:cs="Helvetica" w:hint="eastAsia"/>
          <w:color w:val="000000"/>
          <w:kern w:val="0"/>
          <w:szCs w:val="21"/>
        </w:rPr>
        <w:t>未列示外拨资金</w:t>
      </w:r>
      <w:proofErr w:type="gramEnd"/>
      <w:r w:rsidRPr="00242193">
        <w:rPr>
          <w:rFonts w:asciiTheme="minorEastAsia" w:hAnsiTheme="minorEastAsia" w:cs="Helvetica" w:hint="eastAsia"/>
          <w:color w:val="000000"/>
          <w:kern w:val="0"/>
          <w:szCs w:val="21"/>
        </w:rPr>
        <w:t>，需要增列的，或者已列示</w:t>
      </w:r>
      <w:proofErr w:type="gramStart"/>
      <w:r w:rsidRPr="00242193">
        <w:rPr>
          <w:rFonts w:asciiTheme="minorEastAsia" w:hAnsiTheme="minorEastAsia" w:cs="Helvetica" w:hint="eastAsia"/>
          <w:color w:val="000000"/>
          <w:kern w:val="0"/>
          <w:szCs w:val="21"/>
        </w:rPr>
        <w:t>的外拨资金</w:t>
      </w:r>
      <w:proofErr w:type="gramEnd"/>
      <w:r w:rsidRPr="00242193">
        <w:rPr>
          <w:rFonts w:asciiTheme="minorEastAsia" w:hAnsiTheme="minorEastAsia" w:cs="Helvetica" w:hint="eastAsia"/>
          <w:color w:val="000000"/>
          <w:kern w:val="0"/>
          <w:szCs w:val="21"/>
        </w:rPr>
        <w:t>确需调整的，由项目负责人提出申请，报依托学校审批。</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对于野外考察、数据采集等科研活动中无法取得发票或财政性票据的支出，在确保真实性的前提下，依托学校可按实际发生额予以报销。</w:t>
      </w:r>
    </w:p>
    <w:p w:rsidR="00242193" w:rsidRPr="00242193" w:rsidRDefault="00242193" w:rsidP="00242193">
      <w:pPr>
        <w:widowControl/>
        <w:spacing w:after="150" w:line="400" w:lineRule="exact"/>
        <w:jc w:val="center"/>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第四章 决算管理</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第二十二条 项目负责人应当按照规定编制项目资金年度决算。项目依托学校应将繁荣计划专项资金收支情况纳入单位年度决算统一编报。</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第二十三条 项目完成后，项目负责人应当会同学校财务部门清理账目，据实编报项目决算，并附财务部门审核确认的项目资金收支明细账，与</w:t>
      </w:r>
      <w:proofErr w:type="gramStart"/>
      <w:r w:rsidRPr="00242193">
        <w:rPr>
          <w:rFonts w:asciiTheme="minorEastAsia" w:hAnsiTheme="minorEastAsia" w:cs="Helvetica" w:hint="eastAsia"/>
          <w:color w:val="000000"/>
          <w:kern w:val="0"/>
          <w:szCs w:val="21"/>
        </w:rPr>
        <w:t>项目结项材料</w:t>
      </w:r>
      <w:proofErr w:type="gramEnd"/>
      <w:r w:rsidRPr="00242193">
        <w:rPr>
          <w:rFonts w:asciiTheme="minorEastAsia" w:hAnsiTheme="minorEastAsia" w:cs="Helvetica" w:hint="eastAsia"/>
          <w:color w:val="000000"/>
          <w:kern w:val="0"/>
          <w:szCs w:val="21"/>
        </w:rPr>
        <w:t>一并报送教育部。项目负责人和依托学校不得随意调账变动支出、随意修改记账凭证。</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第二十四条 对于研究项目资金,项目在</w:t>
      </w:r>
      <w:proofErr w:type="gramStart"/>
      <w:r w:rsidRPr="00242193">
        <w:rPr>
          <w:rFonts w:asciiTheme="minorEastAsia" w:hAnsiTheme="minorEastAsia" w:cs="Helvetica" w:hint="eastAsia"/>
          <w:color w:val="000000"/>
          <w:kern w:val="0"/>
          <w:szCs w:val="21"/>
        </w:rPr>
        <w:t>研</w:t>
      </w:r>
      <w:proofErr w:type="gramEnd"/>
      <w:r w:rsidRPr="00242193">
        <w:rPr>
          <w:rFonts w:asciiTheme="minorEastAsia" w:hAnsiTheme="minorEastAsia" w:cs="Helvetica" w:hint="eastAsia"/>
          <w:color w:val="000000"/>
          <w:kern w:val="0"/>
          <w:szCs w:val="21"/>
        </w:rPr>
        <w:t>期间，年度结转资金可以在下一年度继续使用。项目完成目标任务并通过验收后，结余资金可以用于项目最终成果出版及后续研究的直接支出，或由项目依托学校统筹安排用于科研活动的直接支出。</w:t>
      </w:r>
      <w:proofErr w:type="gramStart"/>
      <w:r w:rsidRPr="00242193">
        <w:rPr>
          <w:rFonts w:asciiTheme="minorEastAsia" w:hAnsiTheme="minorEastAsia" w:cs="Helvetica" w:hint="eastAsia"/>
          <w:color w:val="000000"/>
          <w:kern w:val="0"/>
          <w:szCs w:val="21"/>
        </w:rPr>
        <w:t>若项目</w:t>
      </w:r>
      <w:proofErr w:type="gramEnd"/>
      <w:r w:rsidRPr="00242193">
        <w:rPr>
          <w:rFonts w:asciiTheme="minorEastAsia" w:hAnsiTheme="minorEastAsia" w:cs="Helvetica" w:hint="eastAsia"/>
          <w:color w:val="000000"/>
          <w:kern w:val="0"/>
          <w:szCs w:val="21"/>
        </w:rPr>
        <w:t>审核验收2年后结余资金仍有剩余的，应当按原渠道退回教育部。对于非研究项目资金和管理资金,按照财政部关于结转结余资金管理有关规定执行。</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第二十五条 项目因故终止或被撤销，依托学校应当及时清理账目与资产，编制财务决算及资产清单，审核汇总后报送教育部。已拨资金或其剩余部分按原渠道退回教育部。</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第二十六条 凡使用繁荣计划专项资金形成的固定资产、无形资产等均属国有资产，应当按照国有资产管理的有关规定执行。</w:t>
      </w:r>
    </w:p>
    <w:p w:rsidR="00242193" w:rsidRPr="00242193" w:rsidRDefault="00242193" w:rsidP="00242193">
      <w:pPr>
        <w:widowControl/>
        <w:spacing w:after="150" w:line="400" w:lineRule="exact"/>
        <w:jc w:val="center"/>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第五章 监督检查与绩效管理</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lastRenderedPageBreak/>
        <w:t>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第二十八条 项目依托学校应当制定内部管理办法，明确审批程序和管理要求，落实项目预算调剂、间接费用统筹使用、劳务费分配管理、结转结余资金使用等自主权。</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项目依托学校应当完善内部风险防控机制，加强预算审核把关，规范财务支出行为，强化资金使用绩效评价，保障资金使用安全规范有效。</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项目依托学校应当实行内部公开制度，主动公开项目预算、预算调剂、决算、</w:t>
      </w:r>
      <w:proofErr w:type="gramStart"/>
      <w:r w:rsidRPr="00242193">
        <w:rPr>
          <w:rFonts w:asciiTheme="minorEastAsia" w:hAnsiTheme="minorEastAsia" w:cs="Helvetica" w:hint="eastAsia"/>
          <w:color w:val="000000"/>
          <w:kern w:val="0"/>
          <w:szCs w:val="21"/>
        </w:rPr>
        <w:t>外拨资金</w:t>
      </w:r>
      <w:proofErr w:type="gramEnd"/>
      <w:r w:rsidRPr="00242193">
        <w:rPr>
          <w:rFonts w:asciiTheme="minorEastAsia" w:hAnsiTheme="minorEastAsia" w:cs="Helvetica" w:hint="eastAsia"/>
          <w:color w:val="000000"/>
          <w:kern w:val="0"/>
          <w:szCs w:val="21"/>
        </w:rPr>
        <w:t>、劳务费发放、间接费用、结余资金使用和研究成果等情况。</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项目依托学校和项目负责人应当严格遵守国家财经纪律，依法依规使用项目资金，不得擅自</w:t>
      </w:r>
      <w:proofErr w:type="gramStart"/>
      <w:r w:rsidRPr="00242193">
        <w:rPr>
          <w:rFonts w:asciiTheme="minorEastAsia" w:hAnsiTheme="minorEastAsia" w:cs="Helvetica" w:hint="eastAsia"/>
          <w:color w:val="000000"/>
          <w:kern w:val="0"/>
          <w:szCs w:val="21"/>
        </w:rPr>
        <w:t>调整外拨资金</w:t>
      </w:r>
      <w:proofErr w:type="gramEnd"/>
      <w:r w:rsidRPr="00242193">
        <w:rPr>
          <w:rFonts w:asciiTheme="minorEastAsia" w:hAnsiTheme="minorEastAsia" w:cs="Helvetica" w:hint="eastAsia"/>
          <w:color w:val="000000"/>
          <w:kern w:val="0"/>
          <w:szCs w:val="21"/>
        </w:rPr>
        <w:t>，不得利用虚假票据套取资金，不得通过编造虚假合同、虚构人员名单等方式虚报冒领劳务费和专家咨询费，不得随意调账变动支出、随意修改记账凭证、</w:t>
      </w:r>
      <w:proofErr w:type="gramStart"/>
      <w:r w:rsidRPr="00242193">
        <w:rPr>
          <w:rFonts w:asciiTheme="minorEastAsia" w:hAnsiTheme="minorEastAsia" w:cs="Helvetica" w:hint="eastAsia"/>
          <w:color w:val="000000"/>
          <w:kern w:val="0"/>
          <w:szCs w:val="21"/>
        </w:rPr>
        <w:t>以表代账应付</w:t>
      </w:r>
      <w:proofErr w:type="gramEnd"/>
      <w:r w:rsidRPr="00242193">
        <w:rPr>
          <w:rFonts w:asciiTheme="minorEastAsia" w:hAnsiTheme="minorEastAsia" w:cs="Helvetica" w:hint="eastAsia"/>
          <w:color w:val="000000"/>
          <w:kern w:val="0"/>
          <w:szCs w:val="21"/>
        </w:rPr>
        <w:t>财务审计和检查。</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第二十九条 加强繁荣计划专项资金项目绩效管理，建立健全</w:t>
      </w:r>
      <w:proofErr w:type="gramStart"/>
      <w:r w:rsidRPr="00242193">
        <w:rPr>
          <w:rFonts w:asciiTheme="minorEastAsia" w:hAnsiTheme="minorEastAsia" w:cs="Helvetica" w:hint="eastAsia"/>
          <w:color w:val="000000"/>
          <w:kern w:val="0"/>
          <w:szCs w:val="21"/>
        </w:rPr>
        <w:t>全</w:t>
      </w:r>
      <w:proofErr w:type="gramEnd"/>
      <w:r w:rsidRPr="00242193">
        <w:rPr>
          <w:rFonts w:asciiTheme="minorEastAsia" w:hAnsiTheme="minorEastAsia" w:cs="Helvetica" w:hint="eastAsia"/>
          <w:color w:val="000000"/>
          <w:kern w:val="0"/>
          <w:szCs w:val="21"/>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第三十条 违反本办法规定的，依照《中华人民共和国预算法》、《财政违法行为处罚处分条例》等国家有关法律制度规定处理。</w:t>
      </w:r>
    </w:p>
    <w:p w:rsidR="00242193" w:rsidRPr="00242193" w:rsidRDefault="00242193" w:rsidP="00242193">
      <w:pPr>
        <w:widowControl/>
        <w:spacing w:after="150" w:line="400" w:lineRule="exact"/>
        <w:jc w:val="center"/>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第六章 附 则</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第三十一条 本办法由财政部、教育部负责解释。</w:t>
      </w:r>
    </w:p>
    <w:p w:rsidR="00242193" w:rsidRPr="00242193" w:rsidRDefault="00242193" w:rsidP="00242193">
      <w:pPr>
        <w:widowControl/>
        <w:spacing w:after="150" w:line="400" w:lineRule="exact"/>
        <w:ind w:firstLine="640"/>
        <w:jc w:val="left"/>
        <w:rPr>
          <w:rFonts w:asciiTheme="minorEastAsia" w:hAnsiTheme="minorEastAsia" w:cs="Helvetica" w:hint="eastAsia"/>
          <w:color w:val="333333"/>
          <w:kern w:val="0"/>
          <w:szCs w:val="21"/>
        </w:rPr>
      </w:pPr>
      <w:r w:rsidRPr="00242193">
        <w:rPr>
          <w:rFonts w:asciiTheme="minorEastAsia" w:hAnsiTheme="minorEastAsia" w:cs="Helvetica" w:hint="eastAsia"/>
          <w:color w:val="000000"/>
          <w:kern w:val="0"/>
          <w:szCs w:val="21"/>
        </w:rPr>
        <w:t xml:space="preserve">第三十二条 </w:t>
      </w:r>
      <w:r w:rsidRPr="00242193">
        <w:rPr>
          <w:rFonts w:asciiTheme="minorEastAsia" w:hAnsiTheme="minorEastAsia" w:cs="Helvetica" w:hint="eastAsia"/>
          <w:color w:val="333333"/>
          <w:kern w:val="0"/>
          <w:szCs w:val="21"/>
        </w:rPr>
        <w:t>本办法自2016年12月1日起施行。</w:t>
      </w:r>
    </w:p>
    <w:p w:rsidR="00242193" w:rsidRPr="00242193" w:rsidRDefault="00242193">
      <w:pPr>
        <w:rPr>
          <w:rFonts w:asciiTheme="minorEastAsia" w:hAnsiTheme="minorEastAsia"/>
          <w:szCs w:val="21"/>
        </w:rPr>
      </w:pPr>
    </w:p>
    <w:sectPr w:rsidR="00242193" w:rsidRPr="00242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3"/>
    <w:rsid w:val="00242193"/>
    <w:rsid w:val="00AD0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838</Words>
  <Characters>4777</Characters>
  <Application>Microsoft Office Word</Application>
  <DocSecurity>0</DocSecurity>
  <Lines>39</Lines>
  <Paragraphs>11</Paragraphs>
  <ScaleCrop>false</ScaleCrop>
  <Company>Microsoft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2019-08-29T07:28:00Z</dcterms:created>
  <dcterms:modified xsi:type="dcterms:W3CDTF">2019-08-29T07:30:00Z</dcterms:modified>
</cp:coreProperties>
</file>